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E12" w:rsidRPr="00AD3FB5" w:rsidRDefault="00195E12" w:rsidP="00195E12">
      <w:pPr>
        <w:spacing w:before="120" w:after="120" w:line="240" w:lineRule="exact"/>
        <w:jc w:val="center"/>
        <w:rPr>
          <w:b/>
          <w:bCs/>
          <w:sz w:val="24"/>
          <w:szCs w:val="24"/>
        </w:rPr>
      </w:pPr>
      <w:r w:rsidRPr="00AD3FB5">
        <w:rPr>
          <w:rFonts w:ascii="Times New Roman" w:hAnsi="Times New Roman"/>
          <w:b/>
          <w:bCs/>
          <w:sz w:val="24"/>
          <w:szCs w:val="24"/>
        </w:rPr>
        <w:t>Оборот розничной</w:t>
      </w:r>
      <w:r w:rsidR="007E003E">
        <w:rPr>
          <w:rFonts w:ascii="Times New Roman" w:hAnsi="Times New Roman"/>
          <w:b/>
          <w:bCs/>
          <w:sz w:val="24"/>
          <w:szCs w:val="24"/>
        </w:rPr>
        <w:t xml:space="preserve"> торговли пищевыми продуктами,</w:t>
      </w:r>
      <w:r w:rsidR="007E003E">
        <w:rPr>
          <w:rFonts w:ascii="Times New Roman" w:hAnsi="Times New Roman"/>
          <w:b/>
          <w:bCs/>
          <w:sz w:val="24"/>
          <w:szCs w:val="24"/>
        </w:rPr>
        <w:br/>
      </w:r>
      <w:r w:rsidRPr="00AD3FB5">
        <w:rPr>
          <w:rFonts w:ascii="Times New Roman" w:hAnsi="Times New Roman"/>
          <w:b/>
          <w:bCs/>
          <w:sz w:val="24"/>
          <w:szCs w:val="24"/>
        </w:rPr>
        <w:t xml:space="preserve">включая напитки, и табачными изделиями, </w:t>
      </w:r>
      <w:r w:rsidRPr="00AD3FB5">
        <w:rPr>
          <w:rFonts w:ascii="Times New Roman" w:hAnsi="Times New Roman"/>
          <w:b/>
          <w:bCs/>
          <w:sz w:val="24"/>
          <w:szCs w:val="24"/>
        </w:rPr>
        <w:br/>
        <w:t>непродовольственными товарами в январе-феврале 2021 г</w:t>
      </w:r>
      <w:r w:rsidR="00513E17">
        <w:rPr>
          <w:rFonts w:ascii="Times New Roman" w:hAnsi="Times New Roman"/>
          <w:b/>
          <w:bCs/>
          <w:sz w:val="24"/>
          <w:szCs w:val="24"/>
        </w:rPr>
        <w:t>ода</w:t>
      </w:r>
      <w:r w:rsidRPr="00AD3FB5">
        <w:rPr>
          <w:rFonts w:ascii="Times New Roman" w:hAnsi="Times New Roman"/>
          <w:b/>
          <w:bCs/>
          <w:sz w:val="24"/>
          <w:szCs w:val="24"/>
        </w:rPr>
        <w:br/>
      </w:r>
      <w:r w:rsidRPr="00AD3FB5">
        <w:rPr>
          <w:rFonts w:ascii="Times New Roman" w:hAnsi="Times New Roman"/>
          <w:bCs/>
          <w:sz w:val="24"/>
          <w:szCs w:val="24"/>
        </w:rPr>
        <w:t>м</w:t>
      </w:r>
      <w:r w:rsidR="007E003E">
        <w:rPr>
          <w:rFonts w:ascii="Times New Roman" w:hAnsi="Times New Roman"/>
          <w:bCs/>
          <w:sz w:val="24"/>
          <w:szCs w:val="24"/>
        </w:rPr>
        <w:t xml:space="preserve">иллионов </w:t>
      </w:r>
      <w:r w:rsidRPr="00AD3FB5">
        <w:rPr>
          <w:rFonts w:ascii="Times New Roman" w:hAnsi="Times New Roman"/>
          <w:bCs/>
          <w:sz w:val="24"/>
          <w:szCs w:val="24"/>
        </w:rPr>
        <w:t>рублей</w:t>
      </w:r>
    </w:p>
    <w:p w:rsidR="00C215A6" w:rsidRPr="00B51166" w:rsidRDefault="00C215A6" w:rsidP="007C700B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15A6" w:rsidRDefault="00195E12" w:rsidP="007C700B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5E12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490210" cy="2034540"/>
            <wp:effectExtent l="1905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C215A6" w:rsidRDefault="00C215A6" w:rsidP="007C700B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C215A6" w:rsidSect="00376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00B"/>
    <w:rsid w:val="00020112"/>
    <w:rsid w:val="000539A6"/>
    <w:rsid w:val="00075C4F"/>
    <w:rsid w:val="00077C33"/>
    <w:rsid w:val="000C5FFF"/>
    <w:rsid w:val="000E009D"/>
    <w:rsid w:val="000E5093"/>
    <w:rsid w:val="00117E22"/>
    <w:rsid w:val="0013444C"/>
    <w:rsid w:val="0015003D"/>
    <w:rsid w:val="00174CAD"/>
    <w:rsid w:val="00195E12"/>
    <w:rsid w:val="00197BF1"/>
    <w:rsid w:val="001F4B0D"/>
    <w:rsid w:val="0020755E"/>
    <w:rsid w:val="00211317"/>
    <w:rsid w:val="0028410C"/>
    <w:rsid w:val="002B3415"/>
    <w:rsid w:val="002B6C2B"/>
    <w:rsid w:val="00311A8E"/>
    <w:rsid w:val="00320359"/>
    <w:rsid w:val="003427F1"/>
    <w:rsid w:val="00357A22"/>
    <w:rsid w:val="00376D3F"/>
    <w:rsid w:val="00384935"/>
    <w:rsid w:val="00444F49"/>
    <w:rsid w:val="00470CE8"/>
    <w:rsid w:val="00477BB7"/>
    <w:rsid w:val="00513E17"/>
    <w:rsid w:val="00521007"/>
    <w:rsid w:val="0053749B"/>
    <w:rsid w:val="005652C0"/>
    <w:rsid w:val="00582828"/>
    <w:rsid w:val="00585BA5"/>
    <w:rsid w:val="0059053E"/>
    <w:rsid w:val="005A1F05"/>
    <w:rsid w:val="005D53DB"/>
    <w:rsid w:val="00630457"/>
    <w:rsid w:val="0065439D"/>
    <w:rsid w:val="00654F7B"/>
    <w:rsid w:val="00720821"/>
    <w:rsid w:val="007A171D"/>
    <w:rsid w:val="007C700B"/>
    <w:rsid w:val="007E003E"/>
    <w:rsid w:val="008073D5"/>
    <w:rsid w:val="008278AB"/>
    <w:rsid w:val="00870499"/>
    <w:rsid w:val="00890ED6"/>
    <w:rsid w:val="008B1D6B"/>
    <w:rsid w:val="00920F49"/>
    <w:rsid w:val="0093404A"/>
    <w:rsid w:val="009507BA"/>
    <w:rsid w:val="009D4B96"/>
    <w:rsid w:val="009E273E"/>
    <w:rsid w:val="00A15579"/>
    <w:rsid w:val="00A57B1E"/>
    <w:rsid w:val="00A64A79"/>
    <w:rsid w:val="00AA1776"/>
    <w:rsid w:val="00AD3FB5"/>
    <w:rsid w:val="00AD67B9"/>
    <w:rsid w:val="00B034B5"/>
    <w:rsid w:val="00B51166"/>
    <w:rsid w:val="00B73CC9"/>
    <w:rsid w:val="00BA0DBB"/>
    <w:rsid w:val="00BD2C02"/>
    <w:rsid w:val="00C01D49"/>
    <w:rsid w:val="00C1322E"/>
    <w:rsid w:val="00C215A6"/>
    <w:rsid w:val="00C4000B"/>
    <w:rsid w:val="00C979D9"/>
    <w:rsid w:val="00CA3126"/>
    <w:rsid w:val="00CF0FAC"/>
    <w:rsid w:val="00CF487A"/>
    <w:rsid w:val="00D106FD"/>
    <w:rsid w:val="00D33558"/>
    <w:rsid w:val="00D40C04"/>
    <w:rsid w:val="00D6511B"/>
    <w:rsid w:val="00D86FB9"/>
    <w:rsid w:val="00DA17C7"/>
    <w:rsid w:val="00DB2A03"/>
    <w:rsid w:val="00DF0D94"/>
    <w:rsid w:val="00E33296"/>
    <w:rsid w:val="00E5256F"/>
    <w:rsid w:val="00E56552"/>
    <w:rsid w:val="00E65E03"/>
    <w:rsid w:val="00E92462"/>
    <w:rsid w:val="00EB14AA"/>
    <w:rsid w:val="00EC63D4"/>
    <w:rsid w:val="00ED4344"/>
    <w:rsid w:val="00EF40EB"/>
    <w:rsid w:val="00EF7255"/>
    <w:rsid w:val="00F02600"/>
    <w:rsid w:val="00F10FDC"/>
    <w:rsid w:val="00F43A47"/>
    <w:rsid w:val="00F90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3"/>
    <w:basedOn w:val="a"/>
    <w:next w:val="a"/>
    <w:rsid w:val="007C700B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C7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00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1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AngAx val="1"/>
    </c:view3D>
    <c:floor>
      <c:spPr>
        <a:solidFill>
          <a:schemeClr val="bg1">
            <a:lumMod val="65000"/>
          </a:schemeClr>
        </a:solidFill>
        <a:ln w="3175">
          <a:solidFill>
            <a:schemeClr val="tx1"/>
          </a:solidFill>
        </a:ln>
      </c:spPr>
    </c:floor>
    <c:sideWall>
      <c:spPr>
        <a:noFill/>
        <a:ln>
          <a:noFill/>
        </a:ln>
      </c:spPr>
    </c:sideWall>
    <c:backWall>
      <c:spPr>
        <a:noFill/>
        <a:ln>
          <a:noFill/>
        </a:ln>
      </c:spPr>
    </c:backWall>
    <c:plotArea>
      <c:layout>
        <c:manualLayout>
          <c:layoutTarget val="inner"/>
          <c:xMode val="edge"/>
          <c:yMode val="edge"/>
          <c:x val="7.9157006415864734E-2"/>
          <c:y val="0.15634945283811807"/>
          <c:w val="0.89072743511227803"/>
          <c:h val="0.5903422886745901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 рублей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scene3d>
              <a:camera prst="orthographicFront"/>
              <a:lightRig rig="threePt" dir="t"/>
            </a:scene3d>
            <a:sp3d/>
          </c:spPr>
          <c:explosion val="25"/>
          <c:dPt>
            <c:idx val="0"/>
            <c:explosion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dPt>
            <c:idx val="1"/>
            <c:explosion val="12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 w="9525" cap="flat" cmpd="sng" algn="ctr">
                <a:solidFill>
                  <a:schemeClr val="accent1">
                    <a:shade val="95000"/>
                    <a:satMod val="105000"/>
                  </a:scheme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/>
              </a:scene3d>
              <a:sp3d/>
            </c:spPr>
          </c:dPt>
          <c:dLbls>
            <c:dLbl>
              <c:idx val="0"/>
              <c:layout>
                <c:manualLayout>
                  <c:x val="-7.1750328083989415E-2"/>
                  <c:y val="-0.13664385409767704"/>
                </c:manualLayout>
              </c:layout>
              <c:showVal val="1"/>
            </c:dLbl>
            <c:dLbl>
              <c:idx val="1"/>
              <c:layout>
                <c:manualLayout>
                  <c:x val="-9.3011014150642737E-3"/>
                  <c:y val="-0.34074827725186052"/>
                </c:manualLayout>
              </c:layout>
              <c:showVal val="1"/>
            </c:dLbl>
            <c:txPr>
              <a:bodyPr/>
              <a:lstStyle/>
              <a:p>
                <a:pPr>
                  <a:defRPr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Пищевые продукты, включая напитки, и табачные изделия</c:v>
                </c:pt>
                <c:pt idx="1">
                  <c:v>Непродовольственные товары</c:v>
                </c:pt>
              </c:strCache>
            </c:strRef>
          </c:cat>
          <c:val>
            <c:numRef>
              <c:f>Лист1!$B$2:$B$3</c:f>
              <c:numCache>
                <c:formatCode>0.0</c:formatCode>
                <c:ptCount val="2"/>
                <c:pt idx="0">
                  <c:v>198984.6</c:v>
                </c:pt>
                <c:pt idx="1">
                  <c:v>245263.1</c:v>
                </c:pt>
              </c:numCache>
            </c:numRef>
          </c:val>
        </c:ser>
      </c:pie3DChart>
      <c:spPr>
        <a:noFill/>
      </c:spPr>
    </c:plotArea>
    <c:legend>
      <c:legendPos val="b"/>
      <c:layout>
        <c:manualLayout>
          <c:xMode val="edge"/>
          <c:yMode val="edge"/>
          <c:x val="0.15263013998250224"/>
          <c:y val="0.75440717548101766"/>
          <c:w val="0.78501731554389065"/>
          <c:h val="0.21278442556885124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0.7484</cdr:x>
      <cdr:y>0.04234</cdr:y>
    </cdr:from>
    <cdr:to>
      <cdr:x>0.98077</cdr:x>
      <cdr:y>0.13106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106009" y="123084"/>
          <a:ext cx="1274884" cy="25791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900" b="0" i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0.23664</cdr:x>
      <cdr:y>0.05243</cdr:y>
    </cdr:from>
    <cdr:to>
      <cdr:x>0.36572</cdr:x>
      <cdr:y>0.14981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299210" y="106680"/>
          <a:ext cx="708660" cy="1981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(56,2%)</a:t>
          </a:r>
        </a:p>
      </cdr:txBody>
    </cdr:sp>
  </cdr:relSizeAnchor>
  <cdr:relSizeAnchor xmlns:cdr="http://schemas.openxmlformats.org/drawingml/2006/chartDrawing">
    <cdr:from>
      <cdr:x>0.78487</cdr:x>
      <cdr:y>0.05618</cdr:y>
    </cdr:from>
    <cdr:to>
      <cdr:x>0.92783</cdr:x>
      <cdr:y>0.16854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4309110" y="114300"/>
          <a:ext cx="784860" cy="228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>
              <a:latin typeface="Times New Roman" pitchFamily="18" charset="0"/>
              <a:cs typeface="Times New Roman" pitchFamily="18" charset="0"/>
            </a:rPr>
            <a:t>(44,8%)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409FE-FBFE-4C3A-95AF-68529C89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p77_DeevaNV</dc:creator>
  <cp:lastModifiedBy>p77_DeevaNV</cp:lastModifiedBy>
  <cp:revision>3</cp:revision>
  <cp:lastPrinted>2021-02-15T09:20:00Z</cp:lastPrinted>
  <dcterms:created xsi:type="dcterms:W3CDTF">2021-03-22T12:46:00Z</dcterms:created>
  <dcterms:modified xsi:type="dcterms:W3CDTF">2021-03-22T12:47:00Z</dcterms:modified>
</cp:coreProperties>
</file>