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92D" w:rsidRPr="00AD4421" w:rsidRDefault="0056592D" w:rsidP="00DC3FF3">
      <w:pPr>
        <w:spacing w:after="240" w:line="28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4421">
        <w:rPr>
          <w:rFonts w:ascii="Times New Roman" w:hAnsi="Times New Roman" w:cs="Times New Roman"/>
          <w:b/>
          <w:bCs/>
          <w:sz w:val="28"/>
          <w:szCs w:val="28"/>
        </w:rPr>
        <w:t>РОЗНИЧНАЯ ТОРГОВЛЯ</w:t>
      </w:r>
    </w:p>
    <w:p w:rsidR="00300115" w:rsidRPr="00554D8B" w:rsidRDefault="00B6362E" w:rsidP="00300115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bCs/>
          <w:color w:val="1F497D" w:themeColor="text2"/>
          <w:lang w:eastAsia="ru-RU"/>
        </w:rPr>
      </w:pPr>
      <w:r w:rsidRPr="0039284F">
        <w:rPr>
          <w:rFonts w:ascii="Times New Roman" w:hAnsi="Times New Roman"/>
          <w:b/>
          <w:bCs/>
        </w:rPr>
        <w:t>О</w:t>
      </w:r>
      <w:r w:rsidRPr="0039284F">
        <w:rPr>
          <w:rFonts w:ascii="Times New Roman" w:hAnsi="Times New Roman"/>
          <w:b/>
        </w:rPr>
        <w:t>борот розничной торговли</w:t>
      </w:r>
      <w:r>
        <w:rPr>
          <w:rFonts w:ascii="Times New Roman" w:hAnsi="Times New Roman"/>
          <w:bCs/>
        </w:rPr>
        <w:t xml:space="preserve"> </w:t>
      </w:r>
      <w:r w:rsidRPr="0039284F">
        <w:rPr>
          <w:rFonts w:ascii="Times New Roman" w:hAnsi="Times New Roman"/>
          <w:bCs/>
        </w:rPr>
        <w:t>в январе 2021 г.</w:t>
      </w:r>
      <w:r w:rsidRPr="0039284F">
        <w:rPr>
          <w:rFonts w:ascii="Times New Roman" w:hAnsi="Times New Roman"/>
          <w:b/>
          <w:bCs/>
        </w:rPr>
        <w:t xml:space="preserve"> </w:t>
      </w:r>
      <w:r w:rsidRPr="0039284F">
        <w:rPr>
          <w:rFonts w:ascii="Times New Roman" w:hAnsi="Times New Roman"/>
        </w:rPr>
        <w:t>составил 225,0 миллиардов</w:t>
      </w:r>
      <w:r>
        <w:rPr>
          <w:rFonts w:ascii="Times New Roman" w:hAnsi="Times New Roman"/>
        </w:rPr>
        <w:t xml:space="preserve"> </w:t>
      </w:r>
      <w:r w:rsidRPr="0039284F">
        <w:rPr>
          <w:rFonts w:ascii="Times New Roman" w:hAnsi="Times New Roman"/>
        </w:rPr>
        <w:t>рублей, или 106,7 процента (в сопоставимых ценах) к соответствующему периоду предыдущего года.</w:t>
      </w:r>
    </w:p>
    <w:p w:rsidR="00A05272" w:rsidRPr="00554D8B" w:rsidRDefault="00A05272" w:rsidP="001E3E1D">
      <w:pPr>
        <w:spacing w:line="240" w:lineRule="auto"/>
        <w:rPr>
          <w:rFonts w:ascii="Times New Roman" w:hAnsi="Times New Roman" w:cs="Times New Roman"/>
        </w:rPr>
      </w:pPr>
    </w:p>
    <w:p w:rsidR="00B6362E" w:rsidRDefault="007403D3" w:rsidP="007403D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4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Индекс физического объема </w:t>
      </w:r>
      <w:r w:rsidR="00930EA0" w:rsidRPr="00554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554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оборота розничной торговли</w:t>
      </w:r>
    </w:p>
    <w:p w:rsidR="007403D3" w:rsidRDefault="007403D3" w:rsidP="007403D3">
      <w:pPr>
        <w:spacing w:line="240" w:lineRule="auto"/>
        <w:jc w:val="center"/>
        <w:rPr>
          <w:rFonts w:ascii="Arial" w:eastAsia="Times New Roman" w:hAnsi="Arial" w:cs="Arial"/>
          <w:b/>
          <w:bCs/>
          <w:color w:val="1F497D" w:themeColor="text2"/>
          <w:sz w:val="24"/>
          <w:szCs w:val="21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1F497D" w:themeColor="text2"/>
          <w:sz w:val="24"/>
          <w:szCs w:val="21"/>
          <w:lang w:eastAsia="ru-RU"/>
        </w:rPr>
        <w:drawing>
          <wp:inline distT="0" distB="0" distL="0" distR="0">
            <wp:extent cx="6137031" cy="3704492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403D3" w:rsidRDefault="007403D3" w:rsidP="00F34CAF">
      <w:pPr>
        <w:spacing w:after="0" w:line="294" w:lineRule="atLeast"/>
        <w:jc w:val="center"/>
        <w:rPr>
          <w:rFonts w:ascii="Arial" w:eastAsia="Times New Roman" w:hAnsi="Arial" w:cs="Arial"/>
          <w:b/>
          <w:bCs/>
          <w:color w:val="17365D" w:themeColor="text2" w:themeShade="BF"/>
          <w:sz w:val="24"/>
          <w:szCs w:val="21"/>
          <w:lang w:eastAsia="ru-RU"/>
        </w:rPr>
      </w:pPr>
    </w:p>
    <w:p w:rsidR="00B6362E" w:rsidRDefault="00B6362E" w:rsidP="00F34CAF">
      <w:pPr>
        <w:spacing w:after="0" w:line="294" w:lineRule="atLeast"/>
        <w:jc w:val="center"/>
        <w:rPr>
          <w:rFonts w:ascii="Arial" w:eastAsia="Times New Roman" w:hAnsi="Arial" w:cs="Arial"/>
          <w:b/>
          <w:bCs/>
          <w:color w:val="17365D" w:themeColor="text2" w:themeShade="BF"/>
          <w:sz w:val="24"/>
          <w:szCs w:val="21"/>
          <w:lang w:eastAsia="ru-RU"/>
        </w:rPr>
      </w:pPr>
    </w:p>
    <w:p w:rsidR="00CF407E" w:rsidRPr="00554D8B" w:rsidRDefault="00B6362E" w:rsidP="00CF407E">
      <w:pPr>
        <w:spacing w:after="0" w:line="288" w:lineRule="auto"/>
        <w:ind w:firstLine="720"/>
        <w:jc w:val="both"/>
        <w:rPr>
          <w:rFonts w:ascii="Times New Roman" w:hAnsi="Times New Roman" w:cs="Times New Roman"/>
          <w:sz w:val="20"/>
        </w:rPr>
      </w:pPr>
      <w:r w:rsidRPr="00213226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январе </w:t>
      </w:r>
      <w:r w:rsidRPr="00213226">
        <w:rPr>
          <w:rFonts w:ascii="Times New Roman" w:hAnsi="Times New Roman"/>
        </w:rPr>
        <w:t>202</w:t>
      </w:r>
      <w:r>
        <w:rPr>
          <w:rFonts w:ascii="Times New Roman" w:hAnsi="Times New Roman"/>
        </w:rPr>
        <w:t>1</w:t>
      </w:r>
      <w:r w:rsidRPr="00213226">
        <w:rPr>
          <w:rFonts w:ascii="Times New Roman" w:hAnsi="Times New Roman"/>
        </w:rPr>
        <w:t xml:space="preserve"> г. оборот розничной торговли на 9</w:t>
      </w:r>
      <w:r>
        <w:rPr>
          <w:rFonts w:ascii="Times New Roman" w:hAnsi="Times New Roman"/>
        </w:rPr>
        <w:t>8,5 процента</w:t>
      </w:r>
      <w:r w:rsidRPr="00213226">
        <w:rPr>
          <w:rFonts w:ascii="Times New Roman" w:hAnsi="Times New Roman"/>
        </w:rPr>
        <w:t xml:space="preserve"> формировался торгующими </w:t>
      </w:r>
      <w:r>
        <w:rPr>
          <w:rFonts w:ascii="Times New Roman" w:hAnsi="Times New Roman"/>
        </w:rPr>
        <w:br/>
      </w:r>
      <w:r w:rsidRPr="00213226">
        <w:rPr>
          <w:rFonts w:ascii="Times New Roman" w:hAnsi="Times New Roman"/>
        </w:rPr>
        <w:t xml:space="preserve">организациями и индивидуальными предпринимателями, осуществляющими деятельность вне рынка, доля розничных рынков и ярмарок составила </w:t>
      </w:r>
      <w:r>
        <w:rPr>
          <w:rFonts w:ascii="Times New Roman" w:hAnsi="Times New Roman"/>
        </w:rPr>
        <w:t>1,5 процента</w:t>
      </w:r>
      <w:r w:rsidRPr="00213226">
        <w:rPr>
          <w:rFonts w:ascii="Times New Roman" w:hAnsi="Times New Roman"/>
        </w:rPr>
        <w:t xml:space="preserve"> (в </w:t>
      </w:r>
      <w:r>
        <w:rPr>
          <w:rFonts w:ascii="Times New Roman" w:hAnsi="Times New Roman"/>
        </w:rPr>
        <w:t xml:space="preserve">январе </w:t>
      </w:r>
      <w:r w:rsidRPr="00213226">
        <w:rPr>
          <w:rFonts w:ascii="Times New Roman" w:hAnsi="Times New Roman"/>
        </w:rPr>
        <w:t>20</w:t>
      </w:r>
      <w:r>
        <w:rPr>
          <w:rFonts w:ascii="Times New Roman" w:hAnsi="Times New Roman"/>
        </w:rPr>
        <w:t>20</w:t>
      </w:r>
      <w:r w:rsidRPr="00213226"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>–</w:t>
      </w:r>
      <w:r w:rsidRPr="002132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98,6 процента</w:t>
      </w:r>
      <w:r w:rsidRPr="00213226">
        <w:rPr>
          <w:rFonts w:ascii="Times New Roman" w:hAnsi="Times New Roman"/>
        </w:rPr>
        <w:t xml:space="preserve"> и </w:t>
      </w:r>
      <w:r>
        <w:rPr>
          <w:rFonts w:ascii="Times New Roman" w:hAnsi="Times New Roman"/>
        </w:rPr>
        <w:br/>
        <w:t>1,4 процента</w:t>
      </w:r>
      <w:r w:rsidRPr="00213226">
        <w:rPr>
          <w:rFonts w:ascii="Times New Roman" w:hAnsi="Times New Roman"/>
        </w:rPr>
        <w:t xml:space="preserve"> соответственно)</w:t>
      </w:r>
      <w:r>
        <w:rPr>
          <w:rFonts w:ascii="Times New Roman" w:hAnsi="Times New Roman"/>
        </w:rPr>
        <w:t>.</w:t>
      </w:r>
    </w:p>
    <w:p w:rsidR="00CF407E" w:rsidRPr="00554D8B" w:rsidRDefault="00CF407E" w:rsidP="00554D8B">
      <w:pPr>
        <w:pStyle w:val="33"/>
        <w:keepNext w:val="0"/>
        <w:pageBreakBefore/>
        <w:widowControl w:val="0"/>
        <w:tabs>
          <w:tab w:val="center" w:pos="4251"/>
          <w:tab w:val="right" w:pos="8503"/>
        </w:tabs>
        <w:spacing w:before="240"/>
        <w:rPr>
          <w:bCs/>
          <w:sz w:val="28"/>
          <w:szCs w:val="28"/>
        </w:rPr>
      </w:pPr>
      <w:r w:rsidRPr="00554D8B">
        <w:rPr>
          <w:bCs/>
          <w:sz w:val="28"/>
          <w:szCs w:val="28"/>
        </w:rPr>
        <w:lastRenderedPageBreak/>
        <w:t xml:space="preserve">Оборот розничной торговли торгующих организаций </w:t>
      </w:r>
      <w:r w:rsidRPr="00554D8B">
        <w:rPr>
          <w:bCs/>
          <w:sz w:val="28"/>
          <w:szCs w:val="28"/>
        </w:rPr>
        <w:br/>
        <w:t>и продажа товаров на розничных рынках и ярмарках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843"/>
        <w:gridCol w:w="2126"/>
        <w:gridCol w:w="1701"/>
      </w:tblGrid>
      <w:tr w:rsidR="00941C50" w:rsidTr="00941C50">
        <w:trPr>
          <w:cantSplit/>
          <w:trHeight w:val="20"/>
          <w:tblHeader/>
        </w:trPr>
        <w:tc>
          <w:tcPr>
            <w:tcW w:w="3544" w:type="dxa"/>
            <w:vMerge w:val="restart"/>
          </w:tcPr>
          <w:p w:rsidR="00941C50" w:rsidRDefault="00941C50" w:rsidP="00C66D3D">
            <w:pPr>
              <w:widowControl w:val="0"/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gridSpan w:val="3"/>
            <w:hideMark/>
          </w:tcPr>
          <w:p w:rsidR="00941C50" w:rsidRDefault="00941C50" w:rsidP="00C66D3D">
            <w:pPr>
              <w:widowControl w:val="0"/>
              <w:spacing w:before="60" w:after="6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2021 г.</w:t>
            </w:r>
          </w:p>
        </w:tc>
      </w:tr>
      <w:tr w:rsidR="00941C50" w:rsidTr="00941C50">
        <w:trPr>
          <w:cantSplit/>
          <w:trHeight w:val="20"/>
          <w:tblHeader/>
        </w:trPr>
        <w:tc>
          <w:tcPr>
            <w:tcW w:w="3544" w:type="dxa"/>
            <w:vMerge/>
            <w:hideMark/>
          </w:tcPr>
          <w:p w:rsidR="00941C50" w:rsidRDefault="00941C50" w:rsidP="00C66D3D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hideMark/>
          </w:tcPr>
          <w:p w:rsidR="00941C50" w:rsidRPr="007411BE" w:rsidRDefault="00941C50" w:rsidP="00C66D3D">
            <w:pPr>
              <w:widowControl w:val="0"/>
              <w:spacing w:before="60" w:after="6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7411BE">
              <w:rPr>
                <w:rFonts w:ascii="Times New Roman" w:hAnsi="Times New Roman"/>
              </w:rPr>
              <w:t xml:space="preserve">иллионов </w:t>
            </w:r>
          </w:p>
          <w:p w:rsidR="00941C50" w:rsidRDefault="00941C50" w:rsidP="00C66D3D">
            <w:pPr>
              <w:widowControl w:val="0"/>
              <w:spacing w:before="60" w:after="60"/>
              <w:ind w:left="-57" w:right="-57"/>
              <w:jc w:val="center"/>
              <w:rPr>
                <w:rFonts w:ascii="Times New Roman" w:hAnsi="Times New Roman"/>
              </w:rPr>
            </w:pPr>
            <w:r w:rsidRPr="007411BE">
              <w:rPr>
                <w:rFonts w:ascii="Times New Roman" w:hAnsi="Times New Roman"/>
              </w:rPr>
              <w:t>рублей</w:t>
            </w:r>
          </w:p>
        </w:tc>
        <w:tc>
          <w:tcPr>
            <w:tcW w:w="3827" w:type="dxa"/>
            <w:gridSpan w:val="2"/>
            <w:hideMark/>
          </w:tcPr>
          <w:p w:rsidR="00941C50" w:rsidRDefault="00941C50" w:rsidP="00C66D3D">
            <w:pPr>
              <w:widowControl w:val="0"/>
              <w:spacing w:before="60" w:after="6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% к</w:t>
            </w:r>
          </w:p>
        </w:tc>
      </w:tr>
      <w:tr w:rsidR="00941C50" w:rsidTr="00941C50">
        <w:trPr>
          <w:cantSplit/>
          <w:trHeight w:val="20"/>
          <w:tblHeader/>
        </w:trPr>
        <w:tc>
          <w:tcPr>
            <w:tcW w:w="3544" w:type="dxa"/>
            <w:vMerge/>
            <w:hideMark/>
          </w:tcPr>
          <w:p w:rsidR="00941C50" w:rsidRDefault="00941C50" w:rsidP="00C66D3D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hideMark/>
          </w:tcPr>
          <w:p w:rsidR="00941C50" w:rsidRDefault="00941C50" w:rsidP="00C66D3D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hideMark/>
          </w:tcPr>
          <w:p w:rsidR="00941C50" w:rsidRDefault="00941C50" w:rsidP="00C66D3D">
            <w:pPr>
              <w:widowControl w:val="0"/>
              <w:spacing w:before="60" w:after="6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соответствующему периоду </w:t>
            </w:r>
            <w:r>
              <w:rPr>
                <w:rFonts w:ascii="Times New Roman" w:hAnsi="Times New Roman"/>
              </w:rPr>
              <w:br/>
              <w:t>предыдущего года</w:t>
            </w:r>
          </w:p>
        </w:tc>
        <w:tc>
          <w:tcPr>
            <w:tcW w:w="1701" w:type="dxa"/>
            <w:hideMark/>
          </w:tcPr>
          <w:p w:rsidR="00941C50" w:rsidRDefault="00941C50" w:rsidP="00C66D3D">
            <w:pPr>
              <w:widowControl w:val="0"/>
              <w:spacing w:before="60" w:after="60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предыдущему </w:t>
            </w:r>
            <w:r>
              <w:rPr>
                <w:rFonts w:ascii="Times New Roman" w:hAnsi="Times New Roman"/>
              </w:rPr>
              <w:br/>
              <w:t>периоду</w:t>
            </w:r>
          </w:p>
        </w:tc>
      </w:tr>
      <w:tr w:rsidR="00941C50" w:rsidTr="00941C50">
        <w:trPr>
          <w:cantSplit/>
          <w:trHeight w:val="20"/>
          <w:tblHeader/>
        </w:trPr>
        <w:tc>
          <w:tcPr>
            <w:tcW w:w="3544" w:type="dxa"/>
            <w:vAlign w:val="bottom"/>
            <w:hideMark/>
          </w:tcPr>
          <w:p w:rsidR="00941C50" w:rsidRDefault="00941C50" w:rsidP="00C66D3D">
            <w:pPr>
              <w:widowControl w:val="0"/>
              <w:spacing w:before="150" w:after="15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1843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225002,7</w:t>
            </w:r>
          </w:p>
        </w:tc>
        <w:tc>
          <w:tcPr>
            <w:tcW w:w="2126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106,7</w:t>
            </w:r>
          </w:p>
        </w:tc>
        <w:tc>
          <w:tcPr>
            <w:tcW w:w="1701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79,7</w:t>
            </w:r>
          </w:p>
        </w:tc>
      </w:tr>
      <w:tr w:rsidR="00941C50" w:rsidTr="00941C50">
        <w:trPr>
          <w:cantSplit/>
          <w:trHeight w:val="20"/>
          <w:tblHeader/>
        </w:trPr>
        <w:tc>
          <w:tcPr>
            <w:tcW w:w="3544" w:type="dxa"/>
            <w:vAlign w:val="bottom"/>
            <w:hideMark/>
          </w:tcPr>
          <w:p w:rsidR="00941C50" w:rsidRDefault="00941C50" w:rsidP="00C66D3D">
            <w:pPr>
              <w:widowControl w:val="0"/>
              <w:spacing w:before="150" w:after="150"/>
              <w:ind w:left="170" w:hanging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</w:p>
        </w:tc>
      </w:tr>
      <w:tr w:rsidR="00941C50" w:rsidTr="00941C50">
        <w:trPr>
          <w:cantSplit/>
          <w:trHeight w:val="20"/>
          <w:tblHeader/>
        </w:trPr>
        <w:tc>
          <w:tcPr>
            <w:tcW w:w="3544" w:type="dxa"/>
            <w:vAlign w:val="bottom"/>
            <w:hideMark/>
          </w:tcPr>
          <w:p w:rsidR="00941C50" w:rsidRDefault="00941C50" w:rsidP="00C66D3D">
            <w:pPr>
              <w:widowControl w:val="0"/>
              <w:spacing w:before="150" w:after="150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оборот розничной торговли </w:t>
            </w:r>
            <w:r>
              <w:rPr>
                <w:rFonts w:ascii="Times New Roman" w:hAnsi="Times New Roman"/>
              </w:rPr>
              <w:br/>
              <w:t xml:space="preserve">торгующих организаций </w:t>
            </w:r>
            <w:r>
              <w:rPr>
                <w:rFonts w:ascii="Times New Roman" w:hAnsi="Times New Roman"/>
              </w:rPr>
              <w:br/>
              <w:t xml:space="preserve">и индивидуальных предпринимателей, осуществляющих </w:t>
            </w:r>
            <w:r>
              <w:rPr>
                <w:rFonts w:ascii="Times New Roman" w:hAnsi="Times New Roman"/>
              </w:rPr>
              <w:br/>
              <w:t>деятельность вне рынка</w:t>
            </w:r>
          </w:p>
        </w:tc>
        <w:tc>
          <w:tcPr>
            <w:tcW w:w="1843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221597,7</w:t>
            </w:r>
          </w:p>
        </w:tc>
        <w:tc>
          <w:tcPr>
            <w:tcW w:w="2126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w="1701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79,5</w:t>
            </w:r>
          </w:p>
        </w:tc>
      </w:tr>
      <w:tr w:rsidR="00941C50" w:rsidTr="00941C50">
        <w:trPr>
          <w:cantSplit/>
          <w:trHeight w:val="20"/>
          <w:tblHeader/>
        </w:trPr>
        <w:tc>
          <w:tcPr>
            <w:tcW w:w="3544" w:type="dxa"/>
            <w:vAlign w:val="bottom"/>
            <w:hideMark/>
          </w:tcPr>
          <w:p w:rsidR="00941C50" w:rsidRDefault="00941C50" w:rsidP="00C66D3D">
            <w:pPr>
              <w:widowControl w:val="0"/>
              <w:spacing w:before="150" w:after="150"/>
              <w:ind w:lef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продажа товаров </w:t>
            </w:r>
            <w:r>
              <w:rPr>
                <w:rFonts w:ascii="Times New Roman" w:hAnsi="Times New Roman"/>
              </w:rPr>
              <w:br/>
              <w:t xml:space="preserve">на розничных рынках </w:t>
            </w:r>
            <w:r>
              <w:rPr>
                <w:rFonts w:ascii="Times New Roman" w:hAnsi="Times New Roman"/>
              </w:rPr>
              <w:br/>
              <w:t>и ярмарках</w:t>
            </w:r>
          </w:p>
        </w:tc>
        <w:tc>
          <w:tcPr>
            <w:tcW w:w="1843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3405,0</w:t>
            </w:r>
          </w:p>
        </w:tc>
        <w:tc>
          <w:tcPr>
            <w:tcW w:w="2126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</w:t>
            </w:r>
          </w:p>
        </w:tc>
        <w:tc>
          <w:tcPr>
            <w:tcW w:w="1701" w:type="dxa"/>
            <w:vAlign w:val="bottom"/>
          </w:tcPr>
          <w:p w:rsidR="00941C50" w:rsidRDefault="00941C50" w:rsidP="00C66D3D">
            <w:pPr>
              <w:widowControl w:val="0"/>
              <w:spacing w:before="150" w:after="15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93,7</w:t>
            </w:r>
          </w:p>
        </w:tc>
      </w:tr>
    </w:tbl>
    <w:p w:rsidR="00B6362E" w:rsidRDefault="00B6362E" w:rsidP="008C28F5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4CAF" w:rsidRPr="00554D8B" w:rsidRDefault="00F34CAF" w:rsidP="008C28F5">
      <w:pPr>
        <w:spacing w:after="24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4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Структура оборота розничной торговли </w:t>
      </w:r>
      <w:r w:rsidR="005E57DB" w:rsidRPr="00554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554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хозяйствующим субъектам</w:t>
      </w:r>
      <w:r w:rsidRPr="00554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январе</w:t>
      </w:r>
      <w:r w:rsidR="00B636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2021</w:t>
      </w:r>
      <w:r w:rsidRPr="00554D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F34CAF" w:rsidRPr="00BA58E4" w:rsidRDefault="00B6362E" w:rsidP="00F34CAF">
      <w:pPr>
        <w:spacing w:after="0" w:line="294" w:lineRule="atLeast"/>
        <w:jc w:val="center"/>
        <w:rPr>
          <w:rFonts w:ascii="Arial" w:eastAsia="Times New Roman" w:hAnsi="Arial" w:cs="Arial"/>
          <w:color w:val="2E4FAE"/>
          <w:sz w:val="21"/>
          <w:szCs w:val="21"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4F6EF595" wp14:editId="6ED04465">
            <wp:extent cx="5439508" cy="2754923"/>
            <wp:effectExtent l="0" t="0" r="0" b="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F34CAF" w:rsidRPr="00BA58E4" w:rsidSect="00F80480">
      <w:pgSz w:w="11906" w:h="16838"/>
      <w:pgMar w:top="1134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0F8" w:rsidRDefault="005D60F8" w:rsidP="002A53DB">
      <w:pPr>
        <w:spacing w:after="0" w:line="240" w:lineRule="auto"/>
      </w:pPr>
      <w:r>
        <w:separator/>
      </w:r>
    </w:p>
  </w:endnote>
  <w:endnote w:type="continuationSeparator" w:id="0">
    <w:p w:rsidR="005D60F8" w:rsidRDefault="005D60F8" w:rsidP="002A5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0F8" w:rsidRDefault="005D60F8" w:rsidP="002A53DB">
      <w:pPr>
        <w:spacing w:after="0" w:line="240" w:lineRule="auto"/>
      </w:pPr>
      <w:r>
        <w:separator/>
      </w:r>
    </w:p>
  </w:footnote>
  <w:footnote w:type="continuationSeparator" w:id="0">
    <w:p w:rsidR="005D60F8" w:rsidRDefault="005D60F8" w:rsidP="002A53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lignBordersAndEdg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E4"/>
    <w:rsid w:val="000317BB"/>
    <w:rsid w:val="00037273"/>
    <w:rsid w:val="00052D05"/>
    <w:rsid w:val="00056063"/>
    <w:rsid w:val="000605A1"/>
    <w:rsid w:val="00060A65"/>
    <w:rsid w:val="00067960"/>
    <w:rsid w:val="00087D5A"/>
    <w:rsid w:val="00091316"/>
    <w:rsid w:val="000A1302"/>
    <w:rsid w:val="000F0592"/>
    <w:rsid w:val="000F10C0"/>
    <w:rsid w:val="000F5A80"/>
    <w:rsid w:val="001132C5"/>
    <w:rsid w:val="00172EE0"/>
    <w:rsid w:val="00173BAE"/>
    <w:rsid w:val="0019107B"/>
    <w:rsid w:val="00195797"/>
    <w:rsid w:val="001C348D"/>
    <w:rsid w:val="001C75FB"/>
    <w:rsid w:val="001D2298"/>
    <w:rsid w:val="001E30D9"/>
    <w:rsid w:val="001E3E1D"/>
    <w:rsid w:val="00213A91"/>
    <w:rsid w:val="0021731C"/>
    <w:rsid w:val="00220BF4"/>
    <w:rsid w:val="00280465"/>
    <w:rsid w:val="00281637"/>
    <w:rsid w:val="00283B3E"/>
    <w:rsid w:val="002A53DB"/>
    <w:rsid w:val="002B4884"/>
    <w:rsid w:val="002C2DE2"/>
    <w:rsid w:val="002C7CC4"/>
    <w:rsid w:val="002E66A5"/>
    <w:rsid w:val="002F36B6"/>
    <w:rsid w:val="002F58B7"/>
    <w:rsid w:val="00300115"/>
    <w:rsid w:val="00306AEB"/>
    <w:rsid w:val="00325854"/>
    <w:rsid w:val="00336116"/>
    <w:rsid w:val="00387C18"/>
    <w:rsid w:val="003A758F"/>
    <w:rsid w:val="003B54ED"/>
    <w:rsid w:val="003D3099"/>
    <w:rsid w:val="003D3373"/>
    <w:rsid w:val="003E20AA"/>
    <w:rsid w:val="003E2962"/>
    <w:rsid w:val="00421D1F"/>
    <w:rsid w:val="004244D2"/>
    <w:rsid w:val="00440DEC"/>
    <w:rsid w:val="00444B21"/>
    <w:rsid w:val="00454963"/>
    <w:rsid w:val="00466785"/>
    <w:rsid w:val="00466928"/>
    <w:rsid w:val="004A0EF0"/>
    <w:rsid w:val="004E3507"/>
    <w:rsid w:val="005042E7"/>
    <w:rsid w:val="00512E9C"/>
    <w:rsid w:val="00522B79"/>
    <w:rsid w:val="005360A9"/>
    <w:rsid w:val="00554D8B"/>
    <w:rsid w:val="00560E24"/>
    <w:rsid w:val="0056592D"/>
    <w:rsid w:val="0057701D"/>
    <w:rsid w:val="005972E9"/>
    <w:rsid w:val="005A4CAA"/>
    <w:rsid w:val="005C238E"/>
    <w:rsid w:val="005D01A9"/>
    <w:rsid w:val="005D1BC8"/>
    <w:rsid w:val="005D60F8"/>
    <w:rsid w:val="005E2722"/>
    <w:rsid w:val="005E57DB"/>
    <w:rsid w:val="005F12CD"/>
    <w:rsid w:val="005F57B9"/>
    <w:rsid w:val="005F6BA9"/>
    <w:rsid w:val="0061346A"/>
    <w:rsid w:val="006167E1"/>
    <w:rsid w:val="006416E5"/>
    <w:rsid w:val="00662AA2"/>
    <w:rsid w:val="006957E4"/>
    <w:rsid w:val="006C03B9"/>
    <w:rsid w:val="006C5A12"/>
    <w:rsid w:val="006E05FC"/>
    <w:rsid w:val="006E5792"/>
    <w:rsid w:val="0072167F"/>
    <w:rsid w:val="007332C7"/>
    <w:rsid w:val="007403D3"/>
    <w:rsid w:val="0074068C"/>
    <w:rsid w:val="007565EF"/>
    <w:rsid w:val="00790343"/>
    <w:rsid w:val="007A57C1"/>
    <w:rsid w:val="007B5DBF"/>
    <w:rsid w:val="00811384"/>
    <w:rsid w:val="008150BE"/>
    <w:rsid w:val="00825756"/>
    <w:rsid w:val="0082798C"/>
    <w:rsid w:val="00833425"/>
    <w:rsid w:val="00844083"/>
    <w:rsid w:val="00853C6D"/>
    <w:rsid w:val="0085781E"/>
    <w:rsid w:val="00860C73"/>
    <w:rsid w:val="00864A74"/>
    <w:rsid w:val="008768A8"/>
    <w:rsid w:val="00881552"/>
    <w:rsid w:val="008819D7"/>
    <w:rsid w:val="008854EB"/>
    <w:rsid w:val="00897F26"/>
    <w:rsid w:val="008B7E40"/>
    <w:rsid w:val="008C28F5"/>
    <w:rsid w:val="008E1299"/>
    <w:rsid w:val="008F7455"/>
    <w:rsid w:val="009143AA"/>
    <w:rsid w:val="00930EA0"/>
    <w:rsid w:val="00941C50"/>
    <w:rsid w:val="00966E52"/>
    <w:rsid w:val="0099354D"/>
    <w:rsid w:val="009968E8"/>
    <w:rsid w:val="009E47D1"/>
    <w:rsid w:val="009F1F96"/>
    <w:rsid w:val="009F593D"/>
    <w:rsid w:val="00A05272"/>
    <w:rsid w:val="00A126B0"/>
    <w:rsid w:val="00A1778E"/>
    <w:rsid w:val="00A269A3"/>
    <w:rsid w:val="00A30073"/>
    <w:rsid w:val="00A718B6"/>
    <w:rsid w:val="00A83538"/>
    <w:rsid w:val="00A85249"/>
    <w:rsid w:val="00A8677A"/>
    <w:rsid w:val="00AA5796"/>
    <w:rsid w:val="00AC2DB7"/>
    <w:rsid w:val="00AD4421"/>
    <w:rsid w:val="00AF7B2A"/>
    <w:rsid w:val="00B12C44"/>
    <w:rsid w:val="00B25AA8"/>
    <w:rsid w:val="00B47839"/>
    <w:rsid w:val="00B62A74"/>
    <w:rsid w:val="00B6362E"/>
    <w:rsid w:val="00B7345E"/>
    <w:rsid w:val="00B82852"/>
    <w:rsid w:val="00B936D6"/>
    <w:rsid w:val="00B967FD"/>
    <w:rsid w:val="00BA0F25"/>
    <w:rsid w:val="00BA58E4"/>
    <w:rsid w:val="00BB6CEE"/>
    <w:rsid w:val="00BC2482"/>
    <w:rsid w:val="00BC57D0"/>
    <w:rsid w:val="00BD37E0"/>
    <w:rsid w:val="00BD3B1F"/>
    <w:rsid w:val="00BF1BC0"/>
    <w:rsid w:val="00BF7805"/>
    <w:rsid w:val="00C02A08"/>
    <w:rsid w:val="00C42E64"/>
    <w:rsid w:val="00C548F9"/>
    <w:rsid w:val="00C80968"/>
    <w:rsid w:val="00C811D9"/>
    <w:rsid w:val="00CE1D19"/>
    <w:rsid w:val="00CF407E"/>
    <w:rsid w:val="00CF4917"/>
    <w:rsid w:val="00D01F9B"/>
    <w:rsid w:val="00D03138"/>
    <w:rsid w:val="00D04EDB"/>
    <w:rsid w:val="00D16BA0"/>
    <w:rsid w:val="00D612EC"/>
    <w:rsid w:val="00D62F8C"/>
    <w:rsid w:val="00D85932"/>
    <w:rsid w:val="00DA3F16"/>
    <w:rsid w:val="00DB27E1"/>
    <w:rsid w:val="00DB5169"/>
    <w:rsid w:val="00DB7740"/>
    <w:rsid w:val="00DC3FF3"/>
    <w:rsid w:val="00DF0F4B"/>
    <w:rsid w:val="00E25EBE"/>
    <w:rsid w:val="00E26B47"/>
    <w:rsid w:val="00E47E29"/>
    <w:rsid w:val="00E507EA"/>
    <w:rsid w:val="00E55F3C"/>
    <w:rsid w:val="00E6511E"/>
    <w:rsid w:val="00E878B8"/>
    <w:rsid w:val="00EB269A"/>
    <w:rsid w:val="00EB3810"/>
    <w:rsid w:val="00EB446A"/>
    <w:rsid w:val="00EB7C90"/>
    <w:rsid w:val="00EC3928"/>
    <w:rsid w:val="00ED11AC"/>
    <w:rsid w:val="00ED327D"/>
    <w:rsid w:val="00EE1312"/>
    <w:rsid w:val="00F212B9"/>
    <w:rsid w:val="00F33256"/>
    <w:rsid w:val="00F34CAF"/>
    <w:rsid w:val="00F35782"/>
    <w:rsid w:val="00F65F02"/>
    <w:rsid w:val="00F80480"/>
    <w:rsid w:val="00FA3F75"/>
    <w:rsid w:val="00FB0934"/>
    <w:rsid w:val="00FB3191"/>
    <w:rsid w:val="00FE278A"/>
    <w:rsid w:val="00FF116D"/>
    <w:rsid w:val="00FF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CF407E"/>
    <w:pPr>
      <w:keepNext/>
      <w:spacing w:before="240" w:after="0" w:line="160" w:lineRule="exact"/>
      <w:jc w:val="both"/>
      <w:outlineLvl w:val="5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81552"/>
    <w:pPr>
      <w:keepNext/>
      <w:spacing w:before="60" w:after="60" w:line="240" w:lineRule="auto"/>
      <w:ind w:left="-28" w:right="-28"/>
      <w:outlineLvl w:val="8"/>
    </w:pPr>
    <w:rPr>
      <w:rFonts w:ascii="AGOpus" w:eastAsia="Times New Roman" w:hAnsi="AGOpus" w:cs="Times New Roman"/>
      <w:i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semiHidden/>
    <w:unhideWhenUsed/>
    <w:rsid w:val="002A53D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34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4CAF"/>
  </w:style>
  <w:style w:type="paragraph" w:styleId="ab">
    <w:name w:val="footer"/>
    <w:basedOn w:val="a"/>
    <w:link w:val="ac"/>
    <w:uiPriority w:val="99"/>
    <w:unhideWhenUsed/>
    <w:rsid w:val="00F34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4CAF"/>
  </w:style>
  <w:style w:type="paragraph" w:styleId="ad">
    <w:name w:val="Balloon Text"/>
    <w:basedOn w:val="a"/>
    <w:link w:val="ae"/>
    <w:uiPriority w:val="99"/>
    <w:semiHidden/>
    <w:unhideWhenUsed/>
    <w:rsid w:val="00F34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4CA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93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CF40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33">
    <w:name w:val="заголовок 33"/>
    <w:basedOn w:val="a"/>
    <w:next w:val="a"/>
    <w:rsid w:val="00CF407E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PlainText1">
    <w:name w:val="Plain Text1"/>
    <w:basedOn w:val="a"/>
    <w:uiPriority w:val="99"/>
    <w:rsid w:val="005360A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1552"/>
    <w:rPr>
      <w:rFonts w:ascii="AGOpus" w:eastAsia="Times New Roman" w:hAnsi="AGOpus" w:cs="Times New Roman"/>
      <w:i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nhideWhenUsed/>
    <w:qFormat/>
    <w:rsid w:val="00CF407E"/>
    <w:pPr>
      <w:keepNext/>
      <w:spacing w:before="240" w:after="0" w:line="160" w:lineRule="exact"/>
      <w:jc w:val="both"/>
      <w:outlineLvl w:val="5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81552"/>
    <w:pPr>
      <w:keepNext/>
      <w:spacing w:before="60" w:after="60" w:line="240" w:lineRule="auto"/>
      <w:ind w:left="-28" w:right="-28"/>
      <w:outlineLvl w:val="8"/>
    </w:pPr>
    <w:rPr>
      <w:rFonts w:ascii="AGOpus" w:eastAsia="Times New Roman" w:hAnsi="AGOpus" w:cs="Times New Roman"/>
      <w:i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8E4"/>
    <w:rPr>
      <w:b/>
      <w:bCs/>
    </w:rPr>
  </w:style>
  <w:style w:type="paragraph" w:styleId="a4">
    <w:name w:val="Normal (Web)"/>
    <w:basedOn w:val="a"/>
    <w:uiPriority w:val="99"/>
    <w:unhideWhenUsed/>
    <w:rsid w:val="00BA5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A58E4"/>
    <w:rPr>
      <w:i/>
      <w:iCs/>
    </w:rPr>
  </w:style>
  <w:style w:type="paragraph" w:customStyle="1" w:styleId="1">
    <w:name w:val="Текст1"/>
    <w:basedOn w:val="a"/>
    <w:rsid w:val="00F212B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paragraph" w:styleId="a6">
    <w:name w:val="footnote text"/>
    <w:basedOn w:val="a"/>
    <w:link w:val="a7"/>
    <w:unhideWhenUsed/>
    <w:rsid w:val="002A53D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2A53DB"/>
    <w:rPr>
      <w:sz w:val="20"/>
      <w:szCs w:val="20"/>
    </w:rPr>
  </w:style>
  <w:style w:type="character" w:styleId="a8">
    <w:name w:val="footnote reference"/>
    <w:basedOn w:val="a0"/>
    <w:semiHidden/>
    <w:unhideWhenUsed/>
    <w:rsid w:val="002A53D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34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4CAF"/>
  </w:style>
  <w:style w:type="paragraph" w:styleId="ab">
    <w:name w:val="footer"/>
    <w:basedOn w:val="a"/>
    <w:link w:val="ac"/>
    <w:uiPriority w:val="99"/>
    <w:unhideWhenUsed/>
    <w:rsid w:val="00F34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4CAF"/>
  </w:style>
  <w:style w:type="paragraph" w:styleId="ad">
    <w:name w:val="Balloon Text"/>
    <w:basedOn w:val="a"/>
    <w:link w:val="ae"/>
    <w:uiPriority w:val="99"/>
    <w:semiHidden/>
    <w:unhideWhenUsed/>
    <w:rsid w:val="00F34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4CA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B93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CF40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33">
    <w:name w:val="заголовок 33"/>
    <w:basedOn w:val="a"/>
    <w:next w:val="a"/>
    <w:rsid w:val="00CF407E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PlainText1">
    <w:name w:val="Plain Text1"/>
    <w:basedOn w:val="a"/>
    <w:uiPriority w:val="99"/>
    <w:rsid w:val="005360A9"/>
    <w:pPr>
      <w:spacing w:after="240" w:line="288" w:lineRule="auto"/>
      <w:ind w:firstLine="567"/>
      <w:jc w:val="both"/>
    </w:pPr>
    <w:rPr>
      <w:rFonts w:ascii="AGOpus" w:eastAsia="Times New Roman" w:hAnsi="AGOpus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81552"/>
    <w:rPr>
      <w:rFonts w:ascii="AGOpus" w:eastAsia="Times New Roman" w:hAnsi="AGOpus" w:cs="Times New Roman"/>
      <w:i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29900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097">
          <w:marLeft w:val="75"/>
          <w:marRight w:val="7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3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300">
                <a:latin typeface="Times New Roman" panose="02020603050405020304" pitchFamily="18" charset="0"/>
                <a:cs typeface="Times New Roman" panose="02020603050405020304" pitchFamily="18" charset="0"/>
              </a:rPr>
              <a:t>2020-2021 гг.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2.8971663985402796E-2"/>
          <c:y val="0.15476190476190549"/>
          <c:w val="0.95447309945151004"/>
          <c:h val="0.57379324699081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 соответствующему месяцу предыдущего года</c:v>
                </c:pt>
              </c:strCache>
            </c:strRef>
          </c:tx>
          <c:dLbls>
            <c:dLbl>
              <c:idx val="0"/>
              <c:layout>
                <c:manualLayout>
                  <c:x val="-6.4151541681963159E-2"/>
                  <c:y val="-5.89134531260515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1736943995411434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4151704627204917E-2"/>
                  <c:y val="4.7619047619047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110799016658053E-2"/>
                  <c:y val="-6.4102564102564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8624641133473174E-2"/>
                  <c:y val="5.8607914395315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6555236563087265E-2"/>
                  <c:y val="5.98290598290598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069404570385908E-2"/>
                  <c:y val="4.70085470085470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6902259415016807E-2"/>
                  <c:y val="6.4102564102564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902259415016807E-2"/>
                  <c:y val="6.4102564102564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902259415016807E-2"/>
                  <c:y val="3.846153846153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041068555788622E-2"/>
                  <c:y val="-6.83760683760683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110473126174531E-2"/>
                  <c:y val="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2082137111577245E-3"/>
                  <c:y val="-6.4102564102564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chemeClr val="accent1">
                        <a:lumMod val="75000"/>
                      </a:schemeClr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105.5</c:v>
                </c:pt>
                <c:pt idx="1">
                  <c:v>110.7</c:v>
                </c:pt>
                <c:pt idx="2">
                  <c:v>108.7</c:v>
                </c:pt>
                <c:pt idx="3">
                  <c:v>74.5</c:v>
                </c:pt>
                <c:pt idx="4" formatCode="0.0">
                  <c:v>79</c:v>
                </c:pt>
                <c:pt idx="5">
                  <c:v>93.4</c:v>
                </c:pt>
                <c:pt idx="6">
                  <c:v>100.5</c:v>
                </c:pt>
                <c:pt idx="7" formatCode="0.0">
                  <c:v>97</c:v>
                </c:pt>
                <c:pt idx="8">
                  <c:v>97.1</c:v>
                </c:pt>
                <c:pt idx="9">
                  <c:v>99.9</c:v>
                </c:pt>
                <c:pt idx="10">
                  <c:v>99.8</c:v>
                </c:pt>
                <c:pt idx="11">
                  <c:v>102.2</c:v>
                </c:pt>
                <c:pt idx="12">
                  <c:v>106.7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 предыдущему месяцу</c:v>
                </c:pt>
              </c:strCache>
            </c:strRef>
          </c:tx>
          <c:dLbls>
            <c:dLbl>
              <c:idx val="0"/>
              <c:layout>
                <c:manualLayout>
                  <c:x val="-3.9318686837332265E-2"/>
                  <c:y val="5.1282051282051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971826930644477E-2"/>
                  <c:y val="5.98290598290598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694045703859082E-3"/>
                  <c:y val="-2.13675213675213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249282266946349E-2"/>
                  <c:y val="6.41025641025640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763450274244989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34702285192954E-2"/>
                  <c:y val="-4.70085470085470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388091407718163E-3"/>
                  <c:y val="-3.846153846153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2416427422315449E-2"/>
                  <c:y val="-4.70085470085469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902259415016807E-2"/>
                  <c:y val="-7.6923076923076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832854844630898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8624641133473174E-2"/>
                  <c:y val="9.8290598290598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034702285192954E-2"/>
                  <c:y val="-3.846153846153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rgbClr val="FF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2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  <c:pt idx="7">
                  <c:v>Август</c:v>
                </c:pt>
                <c:pt idx="8">
                  <c:v>Сентябрь</c:v>
                </c:pt>
                <c:pt idx="9">
                  <c:v>Октябрь</c:v>
                </c:pt>
                <c:pt idx="10">
                  <c:v>Ноябрь</c:v>
                </c:pt>
                <c:pt idx="11">
                  <c:v>Декабрь</c:v>
                </c:pt>
              </c:strCache>
            </c:strRef>
          </c:cat>
          <c:val>
            <c:numRef>
              <c:f>Лист1!$C$2:$C$14</c:f>
              <c:numCache>
                <c:formatCode>General</c:formatCode>
                <c:ptCount val="13"/>
                <c:pt idx="0">
                  <c:v>75.400000000000006</c:v>
                </c:pt>
                <c:pt idx="1">
                  <c:v>103.8</c:v>
                </c:pt>
                <c:pt idx="2">
                  <c:v>113.1</c:v>
                </c:pt>
                <c:pt idx="3">
                  <c:v>67.5</c:v>
                </c:pt>
                <c:pt idx="4">
                  <c:v>109.5</c:v>
                </c:pt>
                <c:pt idx="5">
                  <c:v>118.8</c:v>
                </c:pt>
                <c:pt idx="6">
                  <c:v>107.8</c:v>
                </c:pt>
                <c:pt idx="7">
                  <c:v>99.4</c:v>
                </c:pt>
                <c:pt idx="8">
                  <c:v>96.5</c:v>
                </c:pt>
                <c:pt idx="9">
                  <c:v>104.9</c:v>
                </c:pt>
                <c:pt idx="10">
                  <c:v>98.1</c:v>
                </c:pt>
                <c:pt idx="11">
                  <c:v>117.5</c:v>
                </c:pt>
                <c:pt idx="12">
                  <c:v>79.7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7374592"/>
        <c:axId val="184359680"/>
      </c:lineChart>
      <c:catAx>
        <c:axId val="3073745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84359680"/>
        <c:crosses val="autoZero"/>
        <c:auto val="1"/>
        <c:lblAlgn val="ctr"/>
        <c:lblOffset val="100"/>
        <c:noMultiLvlLbl val="0"/>
      </c:catAx>
      <c:valAx>
        <c:axId val="184359680"/>
        <c:scaling>
          <c:orientation val="minMax"/>
          <c:min val="50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307374592"/>
        <c:crosses val="autoZero"/>
        <c:crossBetween val="between"/>
        <c:majorUnit val="40"/>
      </c:valAx>
    </c:plotArea>
    <c:legend>
      <c:legendPos val="b"/>
      <c:layout>
        <c:manualLayout>
          <c:xMode val="edge"/>
          <c:yMode val="edge"/>
          <c:x val="2.9649190300651961E-2"/>
          <c:y val="0.91289870016247965"/>
          <c:w val="0.93045461359962678"/>
          <c:h val="6.3291776027996738E-2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2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765341467672433"/>
          <c:y val="0.14483618743461263"/>
          <c:w val="0.7077738678231148"/>
          <c:h val="0.458585705632949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6"/>
          <c:dPt>
            <c:idx val="0"/>
            <c:bubble3D val="0"/>
            <c:explosion val="10"/>
            <c:spPr>
              <a:gradFill>
                <a:gsLst>
                  <a:gs pos="0">
                    <a:srgbClr val="000000"/>
                  </a:gs>
                  <a:gs pos="39999">
                    <a:srgbClr val="0A128C"/>
                  </a:gs>
                  <a:gs pos="70000">
                    <a:srgbClr val="181CC7"/>
                  </a:gs>
                  <a:gs pos="88000">
                    <a:srgbClr val="7005D4"/>
                  </a:gs>
                  <a:gs pos="100000">
                    <a:srgbClr val="8C3D91"/>
                  </a:gs>
                </a:gsLst>
                <a:lin ang="5400000" scaled="0"/>
              </a:gradFill>
            </c:spPr>
          </c:dPt>
          <c:dPt>
            <c:idx val="1"/>
            <c:bubble3D val="0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2"/>
            <c:bubble3D val="0"/>
            <c:spPr>
              <a:gradFill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0"/>
              </a:gradFill>
            </c:spPr>
          </c:dPt>
          <c:dPt>
            <c:idx val="3"/>
            <c:bubble3D val="0"/>
            <c:spPr>
              <a:gradFill>
                <a:gsLst>
                  <a:gs pos="0">
                    <a:srgbClr val="FBEAC7"/>
                  </a:gs>
                  <a:gs pos="17999">
                    <a:srgbClr val="FEE7F2"/>
                  </a:gs>
                  <a:gs pos="36000">
                    <a:srgbClr val="FAC77D"/>
                  </a:gs>
                  <a:gs pos="61000">
                    <a:srgbClr val="FBA97D"/>
                  </a:gs>
                  <a:gs pos="82001">
                    <a:srgbClr val="FBD49C"/>
                  </a:gs>
                  <a:gs pos="100000">
                    <a:srgbClr val="FEE7F2"/>
                  </a:gs>
                </a:gsLst>
                <a:lin ang="5400000" scaled="0"/>
              </a:gradFill>
            </c:spPr>
          </c:dPt>
          <c:dPt>
            <c:idx val="4"/>
            <c:bubble3D val="0"/>
            <c:spPr>
              <a:gradFill>
                <a:gsLst>
                  <a:gs pos="0">
                    <a:srgbClr val="FFFFFF"/>
                  </a:gs>
                  <a:gs pos="7001">
                    <a:srgbClr val="E6E6E6"/>
                  </a:gs>
                  <a:gs pos="32001">
                    <a:srgbClr val="7D8496"/>
                  </a:gs>
                  <a:gs pos="47000">
                    <a:srgbClr val="E6E6E6"/>
                  </a:gs>
                  <a:gs pos="85001">
                    <a:srgbClr val="7D8496"/>
                  </a:gs>
                  <a:gs pos="100000">
                    <a:srgbClr val="E6E6E6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0.10674629498617223"/>
                  <c:y val="-0.330295688563405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346375159515412E-3"/>
                  <c:y val="-1.31237516648713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586134981925582E-2"/>
                  <c:y val="-2.3002129066011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6217585761015685E-3"/>
                  <c:y val="-6.9022344159057065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8090063283474851E-2"/>
                  <c:y val="1.0779436434087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>
                  <a:noFill/>
                </a:ln>
              </c:spPr>
            </c:leaderLines>
          </c:dLbls>
          <c:cat>
            <c:strRef>
              <c:f>Лист1!$A$2:$A$6</c:f>
              <c:strCache>
                <c:ptCount val="5"/>
                <c:pt idx="0">
                  <c:v>Организации, не относящиеся к субъектам малого и среднего предпринимательства</c:v>
                </c:pt>
                <c:pt idx="1">
                  <c:v>Субъекты среднего предпринимательства</c:v>
                </c:pt>
                <c:pt idx="2">
                  <c:v>Малые предприятия (включая микропредприятия)</c:v>
                </c:pt>
                <c:pt idx="3">
                  <c:v>Индивидуальные предприниматели, осуществляющие деятельность вне рынка</c:v>
                </c:pt>
                <c:pt idx="4">
                  <c:v>Розничные рынки и ярмарки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 formatCode="0.0">
                  <c:v>81.599999999999994</c:v>
                </c:pt>
                <c:pt idx="1">
                  <c:v>1.4</c:v>
                </c:pt>
                <c:pt idx="2" formatCode="0.0">
                  <c:v>9.8000000000000007</c:v>
                </c:pt>
                <c:pt idx="3" formatCode="0.0">
                  <c:v>5.7</c:v>
                </c:pt>
                <c:pt idx="4">
                  <c:v>1.5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7.2346707012254624E-2"/>
          <c:y val="0.67901516429062503"/>
          <c:w val="0.85530640191715157"/>
          <c:h val="0.32098483570937492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0.81077</cdr:x>
      <cdr:y>0</cdr:y>
    </cdr:from>
    <cdr:to>
      <cdr:x>0.95534</cdr:x>
      <cdr:y>0.08379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4404936" y="0"/>
          <a:ext cx="785458" cy="2467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i="1">
              <a:latin typeface="Arial" panose="020B0604020202020204" pitchFamily="34" charset="0"/>
              <a:cs typeface="Arial" panose="020B0604020202020204" pitchFamily="34" charset="0"/>
            </a:rPr>
            <a:t>процентов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E3C61-439E-4214-83A9-C66555A2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Алина Александровна</dc:creator>
  <cp:lastModifiedBy>Татьяна</cp:lastModifiedBy>
  <cp:revision>3</cp:revision>
  <cp:lastPrinted>2020-06-29T14:47:00Z</cp:lastPrinted>
  <dcterms:created xsi:type="dcterms:W3CDTF">2021-02-16T06:27:00Z</dcterms:created>
  <dcterms:modified xsi:type="dcterms:W3CDTF">2021-02-16T07:02:00Z</dcterms:modified>
</cp:coreProperties>
</file>